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LXXI/895/22 Rady Miejskiej w Bytomiu w sprawie ustalenia stawki za 1 kilometr przebiegu pojazdu w zakresie refundacji kosztów przewozu uczniów niepełnosprawnych do szkół i placówek oświatowych wraz z powrotem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oświatowe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1082,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LXXI/895/22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stawki za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kilometr przebiegu pojazdu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refundacji kosztów przewozu uczniów niepełnosprawnych do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oświatowych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powrotem,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stawkę za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kilometr przebiegu pojazdu, uwzględnianą przy obliczaniu zwrotu rodzicom kosztów przewozu uczniów niepełnosprawnych do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oświatowych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powrotem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określonej jako maksymalna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przepisach wydanych 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transporcie drogowym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2201).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Stawka za 1 kilometr przebiegu pojazdu w zakresie refundacji kosztów przewozu uczniów niepełnosprawnych do szkół i placówek oświatowych, zgodnie z zapisem art. 39a ust. 2 ustawy z dnia 14 grudnia 2016 r. Prawo oświatowe, nie może być niższa niż stawka określona w przepisach wydanych na podstawie art. 34a ust. 2 ustawy z dnia 6 września 2001 r. o transporcie drogowym. W dniu 17 stycznia 2023 roku weszło w życie rozporządzenie Ministra Infrastruktury z dnia 22 grudnia 2022 r. zmieniające rozporządzenie w sprawie warunków ustalania oraz sposobu dokonywania zwrotu kosztów używania do celów służbowych samochodów osobowych, motocykli i motorowerów niebędących własnością pracodawcy. Rozporządzenie podwyższa stawkę za 1 kilometr przebiegu pojazdu dla samochodów osobowych o pojemności skokowej silnika do 900 cm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 xml:space="preserve"> z 0,5214 zł na 0,89 zł oraz dla samochodów osobowych o pojemności skokowej silnika powyżej 900 cm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 xml:space="preserve"> z 0,8358 zł na 1,15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Projekt uchwały, zgodnie z obowiązującymi przepisami prawa, poddano konsultacjom społecznym.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4B9B8CCB-C793-471E-B4B0-9F4423A3BFAA.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4B9B8CCB-C793-471E-B4B0-9F4423A3BFAA.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LXXIV/952/23 z dnia 27 lutego 2023 r.</dc:title>
  <dc:subject>zmieniająca uchwałę nr LXXI/895/22 Rady Miejskiej w^Bytomiu w^sprawie ustalenia stawki za 1^kilometr przebiegu pojazdu w^zakresie refundacji kosztów przewozu uczniów niepełnosprawnych do szkół i^placówek oświatowych wraz z^powrotem</dc:subject>
  <dc:creator>masocha</dc:creator>
  <cp:lastModifiedBy>masocha</cp:lastModifiedBy>
  <cp:revision>1</cp:revision>
  <dcterms:created xsi:type="dcterms:W3CDTF">2023-02-27T16:41:56Z</dcterms:created>
  <dcterms:modified xsi:type="dcterms:W3CDTF">2023-02-27T16:41:56Z</dcterms:modified>
  <cp:category>Akt prawny</cp:category>
</cp:coreProperties>
</file>